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Mrs. Vaughn’s Schedule - 2020-2021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2.5"/>
        <w:gridCol w:w="1845"/>
        <w:gridCol w:w="1860"/>
        <w:gridCol w:w="1890"/>
        <w:gridCol w:w="1882.5"/>
        <w:tblGridChange w:id="0">
          <w:tblGrid>
            <w:gridCol w:w="1882.5"/>
            <w:gridCol w:w="1845"/>
            <w:gridCol w:w="1860"/>
            <w:gridCol w:w="1890"/>
            <w:gridCol w:w="1882.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Friday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7:45-8:15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Arrival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7:45-8:15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Arrival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7:45-8:15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Arrival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7:45-8:15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Arrival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7:45-8:15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Arrival</w:t>
            </w:r>
          </w:p>
        </w:tc>
      </w:tr>
      <w:tr>
        <w:trPr>
          <w:trHeight w:val="960" w:hRule="atLeast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8:30-9:20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Individual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Counseling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8:30-9:20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Individual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Counseling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8:20-8:50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Individual Counseling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8:30-9:20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Individual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Counseling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8:30-9:20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Individual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Counseling</w:t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9:20-9:50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Javel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9:20-9:50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Earnest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8:50-9:20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Pre-K Class 1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9:20-9:50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H.Horton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9:20-9:50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Banks</w:t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9:50-10:20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Quebodeaux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9:50-10:20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Taylor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9:20-9:50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Pre-K Class 2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9:50-10:20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K.Horton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9:50-10:20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Dean</w:t>
            </w:r>
          </w:p>
        </w:tc>
      </w:tr>
      <w:t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10:20-11:20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Individual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Counseling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10:20-10:50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Eller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9:50-10:20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Pre-K Class 3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10:20-10:50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Lynch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10:20-11:20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Individual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Counseling</w:t>
            </w:r>
          </w:p>
        </w:tc>
      </w:tr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11:20 - 12:20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Group Counseling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10:20-11:20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Individual Counseling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10:20-10:50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Pre-K Class 4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10:20-11:20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Individual Counseling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11:20 - 12:20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Group Counsleing</w:t>
            </w:r>
          </w:p>
        </w:tc>
      </w:tr>
      <w:t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12:20-12:50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Lunch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11:20-11:50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Rivers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10:50-11:20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Pre-K Class 5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11:20-11:50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Harrison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12:20-12:50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Lunch</w:t>
            </w:r>
          </w:p>
        </w:tc>
      </w:tr>
      <w:t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12:50-1:50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Counseling Referrals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11:50-12:20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Williams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11:20 - 11:50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Individual Counseling Pre-K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11:50-12:20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Stacy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12:50-1:50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Group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Counseling</w:t>
            </w:r>
          </w:p>
        </w:tc>
      </w:tr>
      <w:tr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1:50-2:20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Dyke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12:20-12:50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Lunch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12:00 - 12:30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Lunch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12:20-12:50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Lunch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1:50-2:20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Planning</w:t>
            </w:r>
          </w:p>
        </w:tc>
      </w:tr>
      <w:tr>
        <w:trPr>
          <w:trHeight w:val="615" w:hRule="atLeast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2:20-2:50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Planning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12:50-1:20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Planning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12:30 - 1:00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Planning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12:50-1:20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Planning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2:20-3:10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Counseling Ref.</w:t>
            </w:r>
          </w:p>
        </w:tc>
      </w:tr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2:50-3:10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Groups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1:20-1:50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Counseling Ref.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1:00-2:00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Counseling Ref.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12:50-1:50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Counseling Ref.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3:10-3:30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Bus Dismissal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3:10-3:30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Bus Dismissal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1:50-2:20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Bailey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2:00 - 2:30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Groups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1:50-2:20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Ellis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2:20-2:50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Tejeda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2:30 - 3:10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Groups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2:20-2:50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Smith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2:50-3:10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Counseling Ref.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3:10-3:30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Bus Dismissal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2:50-3:10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Counseling Ref.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mfortaa" w:cs="Comfortaa" w:eastAsia="Comfortaa" w:hAnsi="Comfortaa"/>
                <w:sz w:val="16"/>
                <w:szCs w:val="16"/>
                <w:rtl w:val="0"/>
              </w:rPr>
              <w:t xml:space="preserve">3:10-3:30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6"/>
                <w:szCs w:val="16"/>
                <w:rtl w:val="0"/>
              </w:rPr>
              <w:t xml:space="preserve">Bus Dismissal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6"/>
                <w:szCs w:val="16"/>
                <w:rtl w:val="0"/>
              </w:rPr>
              <w:t xml:space="preserve">3:10-3:30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6"/>
                <w:szCs w:val="16"/>
                <w:rtl w:val="0"/>
              </w:rPr>
              <w:t xml:space="preserve">Bus Dismissal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